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Annual Translation Quality Report 2024</w:t>
      </w:r>
    </w:p>
    <w:p>
      <w:pPr>
        <w:jc w:val="center"/>
      </w:pPr>
      <w:r>
        <w:rPr>
          <w:i/>
        </w:rPr>
        <w:t>Prepared by the Office Translator Quality Team</w:t>
      </w:r>
    </w:p>
    <w:p>
      <w:pPr>
        <w:jc w:val="center"/>
      </w:pPr>
      <w:hyperlink r:id="rId9">
        <w:r>
          <w:rPr>
            <w:rFonts w:ascii="Calibri" w:hAnsi="Calibri"/>
            <w:color w:val="0563C1"/>
            <w:u w:val="single"/>
          </w:rPr>
          <w:t xml:space="preserve">www.office-translator.example.com</w:t>
        </w:r>
      </w:hyperlink>
    </w:p>
    <w:p>
      <w:r>
        <w:br w:type="page"/>
      </w:r>
    </w:p>
    <w:p>
      <w:pPr>
        <w:pStyle w:val="Heading1"/>
      </w:pPr>
      <w:r>
        <w:t>Table of Contents</w:t>
      </w:r>
    </w:p>
    <w:p>
      <w:hyperlink w:anchor="section_intro">
        <w:r>
          <w:rPr>
            <w:rStyle w:val="Hyperlink"/>
          </w:rPr>
          <w:t xml:space="preserve">1. Introduction</w:t>
        </w:r>
      </w:hyperlink>
    </w:p>
    <w:p>
      <w:hyperlink w:anchor="section_methodology">
        <w:r>
          <w:rPr>
            <w:rStyle w:val="Hyperlink"/>
          </w:rPr>
          <w:t xml:space="preserve">2. Methodology</w:t>
        </w:r>
      </w:hyperlink>
    </w:p>
    <w:p>
      <w:hyperlink w:anchor="section_results">
        <w:r>
          <w:rPr>
            <w:rStyle w:val="Hyperlink"/>
          </w:rPr>
          <w:t xml:space="preserve">3. Results</w:t>
        </w:r>
      </w:hyperlink>
    </w:p>
    <w:p>
      <w:hyperlink w:anchor="section_conclusion">
        <w:r>
          <w:rPr>
            <w:rStyle w:val="Hyperlink"/>
          </w:rPr>
          <w:t xml:space="preserve">4. Conclusion</w:t>
        </w:r>
      </w:hyperlink>
    </w:p>
    <w:p>
      <w:hyperlink w:anchor="section_appendix">
        <w:r>
          <w:rPr>
            <w:rStyle w:val="Hyperlink"/>
          </w:rPr>
          <w:t xml:space="preserve">5. Appendix</w:t>
        </w:r>
      </w:hyperlink>
    </w:p>
    <w:p>
      <w:r>
        <w:br w:type="page"/>
      </w:r>
    </w:p>
    <w:p>
      <w:bookmarkStart w:id="1" w:name="section_intro"/>
      <w:pPr>
        <w:pStyle w:val="Heading1"/>
      </w:pPr>
      <w:r>
        <w:t>1. Introduction</w:t>
      </w:r>
      <w:bookmarkEnd w:id="1"/>
    </w:p>
    <w:p>
      <w:r>
        <w:t xml:space="preserve">This report summarizes the translation quality metrics collected by our system during 2024. The data spans </w:t>
      </w:r>
      <w:hyperlink r:id="rId10">
        <w:r>
          <w:rPr>
            <w:rFonts w:ascii="Calibri" w:hAnsi="Calibri"/>
            <w:color w:val="0563C1"/>
            <w:u w:val="single"/>
          </w:rPr>
          <w:t xml:space="preserve">47 language pairs</w:t>
        </w:r>
      </w:hyperlink>
      <w:r>
        <w:t xml:space="preserve"> and includes both human-rated and automated evaluations. For a full description of the dataset, see our </w:t>
      </w:r>
      <w:hyperlink r:id="rId11">
        <w:r>
          <w:rPr>
            <w:rFonts w:ascii="Calibri" w:hAnsi="Calibri"/>
            <w:color w:val="0563C1"/>
            <w:u w:val="single"/>
          </w:rPr>
          <w:t xml:space="preserve">technical paper</w:t>
        </w:r>
      </w:hyperlink>
      <w:r>
        <w:t>.</w:t>
      </w:r>
      <w:r>
        <w:footnoteReference w:id="1"/>
      </w:r>
      <w:r>
        <w:t xml:space="preserve"> The remainder of this document is organized as follows: section 2 describes the methodology, section 3 presents the results</w:t>
      </w:r>
      <w:r>
        <w:footnoteReference w:id="2"/>
      </w:r>
      <w:r>
        <w:t>, and section 4 concludes with recommendations.</w:t>
      </w:r>
    </w:p>
    <w:p>
      <w:r>
        <w:t>Key terms used throughout this document are defined in the Glossary (see Appendix A). Readers interested in the mathematical background should consult the supplementary material</w:t>
      </w:r>
      <w:r>
        <w:endnoteReference w:id="1"/>
      </w:r>
      <w:r>
        <w:t>.</w:t>
      </w:r>
    </w:p>
    <w:p>
      <w:bookmarkStart w:id="2" w:name="section_methodology"/>
      <w:pPr>
        <w:pStyle w:val="Heading1"/>
      </w:pPr>
      <w:r>
        <w:t>2. Methodology</w:t>
      </w:r>
      <w:bookmarkEnd w:id="2"/>
    </w:p>
    <w:p>
      <w:r>
        <w:t>We evaluated translations using three complementary approaches:</w:t>
      </w:r>
    </w:p>
    <w:p>
      <w:pPr>
        <w:pStyle w:val="ListBullet"/>
      </w:pPr>
      <w:r>
        <w:t>BLEU score (Papineni et al., 2002) — measures n-gram overlap with reference translations</w:t>
      </w:r>
    </w:p>
    <w:p>
      <w:pPr>
        <w:pStyle w:val="ListBullet"/>
      </w:pPr>
      <w:r>
        <w:t>chrF score (Popović, 2015) — character-level F-score, more robust than BLEU for morphologically rich languages</w:t>
      </w:r>
    </w:p>
    <w:p>
      <w:pPr>
        <w:pStyle w:val="ListBullet"/>
      </w:pPr>
      <w:r>
        <w:t>Human evaluation on a 1-5 Likert scale — performed by professional translators</w:t>
      </w:r>
    </w:p>
    <w:p>
      <w:r>
        <w:t>The evaluation pipeline consists of the following steps:</w:t>
      </w:r>
    </w:p>
    <w:p>
      <w:pPr>
        <w:pStyle w:val="ListNumber"/>
      </w:pPr>
      <w:r>
        <w:t>Collect source-target pairs from production traffic</w:t>
      </w:r>
    </w:p>
    <w:p>
      <w:pPr>
        <w:pStyle w:val="ListNumber"/>
      </w:pPr>
      <w:r>
        <w:t>Run automatic metrics (BLEU, chrF) on each pair</w:t>
      </w:r>
    </w:p>
    <w:p>
      <w:pPr>
        <w:pStyle w:val="ListNumber"/>
      </w:pPr>
      <w:r>
        <w:t>Sample 500 pairs per language for human evaluation</w:t>
      </w:r>
    </w:p>
    <w:p>
      <w:pPr>
        <w:pStyle w:val="ListNumber"/>
      </w:pPr>
      <w:r>
        <w:t>Compute aggregate quality scores with confidence intervals</w:t>
      </w:r>
    </w:p>
    <w:p>
      <w:bookmarkStart w:id="3" w:name="section_results"/>
      <w:pPr>
        <w:pStyle w:val="Heading1"/>
      </w:pPr>
      <w:r>
        <w:t>3. Results</w:t>
      </w:r>
      <w:bookmarkEnd w:id="3"/>
    </w:p>
    <w:p>
      <w:r>
        <w:t>Table 1 summarizes the BLEU and chrF scores across the top 10 language pairs. Higher scores indicate better translation quality. The full breakdown is available in the supplementary CSV file</w:t>
      </w:r>
      <w:r>
        <w:footnoteReference w:id="3"/>
      </w:r>
      <w:r>
        <w:t>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Language Pair</w:t>
            </w:r>
          </w:p>
        </w:tc>
        <w:tc>
          <w:tcPr>
            <w:tcW w:type="dxa" w:w="1728"/>
          </w:tcPr>
          <w:p>
            <w:r>
              <w:rPr>
                <w:b/>
              </w:rPr>
              <w:t>Documents</w:t>
            </w:r>
          </w:p>
        </w:tc>
        <w:tc>
          <w:tcPr>
            <w:tcW w:type="dxa" w:w="1728"/>
          </w:tcPr>
          <w:p>
            <w:r>
              <w:rPr>
                <w:b/>
              </w:rPr>
              <w:t>BLEU</w:t>
            </w:r>
          </w:p>
        </w:tc>
        <w:tc>
          <w:tcPr>
            <w:tcW w:type="dxa" w:w="1728"/>
          </w:tcPr>
          <w:p>
            <w:r>
              <w:rPr>
                <w:b/>
              </w:rPr>
              <w:t>chrF</w:t>
            </w:r>
          </w:p>
        </w:tc>
        <w:tc>
          <w:tcPr>
            <w:tcW w:type="dxa" w:w="1728"/>
          </w:tcPr>
          <w:p>
            <w:r>
              <w:rPr>
                <w:b/>
              </w:rPr>
              <w:t>Human Score</w:t>
            </w:r>
          </w:p>
        </w:tc>
      </w:tr>
      <w:tr>
        <w:tc>
          <w:tcPr>
            <w:tcW w:type="dxa" w:w="1728"/>
          </w:tcPr>
          <w:p>
            <w:r>
              <w:t>EN → FR</w:t>
            </w:r>
          </w:p>
        </w:tc>
        <w:tc>
          <w:tcPr>
            <w:tcW w:type="dxa" w:w="1728"/>
          </w:tcPr>
          <w:p>
            <w:r>
              <w:t>12,500</w:t>
            </w:r>
          </w:p>
        </w:tc>
        <w:tc>
          <w:tcPr>
            <w:tcW w:type="dxa" w:w="1728"/>
          </w:tcPr>
          <w:p>
            <w:r>
              <w:t>48.2</w:t>
            </w:r>
          </w:p>
        </w:tc>
        <w:tc>
          <w:tcPr>
            <w:tcW w:type="dxa" w:w="1728"/>
          </w:tcPr>
          <w:p>
            <w:r>
              <w:t>72.1</w:t>
            </w:r>
          </w:p>
        </w:tc>
        <w:tc>
          <w:tcPr>
            <w:tcW w:type="dxa" w:w="1728"/>
          </w:tcPr>
          <w:p>
            <w:r>
              <w:t>4.31</w:t>
            </w:r>
          </w:p>
        </w:tc>
      </w:tr>
      <w:tr>
        <w:tc>
          <w:tcPr>
            <w:tcW w:type="dxa" w:w="1728"/>
          </w:tcPr>
          <w:p>
            <w:r>
              <w:t>EN → ES</w:t>
            </w:r>
          </w:p>
        </w:tc>
        <w:tc>
          <w:tcPr>
            <w:tcW w:type="dxa" w:w="1728"/>
          </w:tcPr>
          <w:p>
            <w:r>
              <w:t>10,200</w:t>
            </w:r>
          </w:p>
        </w:tc>
        <w:tc>
          <w:tcPr>
            <w:tcW w:type="dxa" w:w="1728"/>
          </w:tcPr>
          <w:p>
            <w:r>
              <w:t>51.7</w:t>
            </w:r>
          </w:p>
        </w:tc>
        <w:tc>
          <w:tcPr>
            <w:tcW w:type="dxa" w:w="1728"/>
          </w:tcPr>
          <w:p>
            <w:r>
              <w:t>74.3</w:t>
            </w:r>
          </w:p>
        </w:tc>
        <w:tc>
          <w:tcPr>
            <w:tcW w:type="dxa" w:w="1728"/>
          </w:tcPr>
          <w:p>
            <w:r>
              <w:t>4.45</w:t>
            </w:r>
          </w:p>
        </w:tc>
      </w:tr>
      <w:tr>
        <w:tc>
          <w:tcPr>
            <w:tcW w:type="dxa" w:w="1728"/>
          </w:tcPr>
          <w:p>
            <w:r>
              <w:t>EN → DE</w:t>
            </w:r>
          </w:p>
        </w:tc>
        <w:tc>
          <w:tcPr>
            <w:tcW w:type="dxa" w:w="1728"/>
          </w:tcPr>
          <w:p>
            <w:r>
              <w:t>9,800</w:t>
            </w:r>
          </w:p>
        </w:tc>
        <w:tc>
          <w:tcPr>
            <w:tcW w:type="dxa" w:w="1728"/>
          </w:tcPr>
          <w:p>
            <w:r>
              <w:t>45.9</w:t>
            </w:r>
          </w:p>
        </w:tc>
        <w:tc>
          <w:tcPr>
            <w:tcW w:type="dxa" w:w="1728"/>
          </w:tcPr>
          <w:p>
            <w:r>
              <w:t>70.5</w:t>
            </w:r>
          </w:p>
        </w:tc>
        <w:tc>
          <w:tcPr>
            <w:tcW w:type="dxa" w:w="1728"/>
          </w:tcPr>
          <w:p>
            <w:r>
              <w:t>4.18</w:t>
            </w:r>
          </w:p>
        </w:tc>
      </w:tr>
      <w:tr>
        <w:tc>
          <w:tcPr>
            <w:tcW w:type="dxa" w:w="1728"/>
          </w:tcPr>
          <w:p>
            <w:r>
              <w:t>EN → IT</w:t>
            </w:r>
          </w:p>
        </w:tc>
        <w:tc>
          <w:tcPr>
            <w:tcW w:type="dxa" w:w="1728"/>
          </w:tcPr>
          <w:p>
            <w:r>
              <w:t>7,300</w:t>
            </w:r>
          </w:p>
        </w:tc>
        <w:tc>
          <w:tcPr>
            <w:tcW w:type="dxa" w:w="1728"/>
          </w:tcPr>
          <w:p>
            <w:r>
              <w:t>47.1</w:t>
            </w:r>
          </w:p>
        </w:tc>
        <w:tc>
          <w:tcPr>
            <w:tcW w:type="dxa" w:w="1728"/>
          </w:tcPr>
          <w:p>
            <w:r>
              <w:t>71.2</w:t>
            </w:r>
          </w:p>
        </w:tc>
        <w:tc>
          <w:tcPr>
            <w:tcW w:type="dxa" w:w="1728"/>
          </w:tcPr>
          <w:p>
            <w:r>
              <w:t>4.22</w:t>
            </w:r>
          </w:p>
        </w:tc>
      </w:tr>
      <w:tr>
        <w:tc>
          <w:tcPr>
            <w:tcW w:type="dxa" w:w="1728"/>
          </w:tcPr>
          <w:p>
            <w:r>
              <w:t>EN → PT</w:t>
            </w:r>
          </w:p>
        </w:tc>
        <w:tc>
          <w:tcPr>
            <w:tcW w:type="dxa" w:w="1728"/>
          </w:tcPr>
          <w:p>
            <w:r>
              <w:t>5,600</w:t>
            </w:r>
          </w:p>
        </w:tc>
        <w:tc>
          <w:tcPr>
            <w:tcW w:type="dxa" w:w="1728"/>
          </w:tcPr>
          <w:p>
            <w:r>
              <w:t>49.3</w:t>
            </w:r>
          </w:p>
        </w:tc>
        <w:tc>
          <w:tcPr>
            <w:tcW w:type="dxa" w:w="1728"/>
          </w:tcPr>
          <w:p>
            <w:r>
              <w:t>72.8</w:t>
            </w:r>
          </w:p>
        </w:tc>
        <w:tc>
          <w:tcPr>
            <w:tcW w:type="dxa" w:w="1728"/>
          </w:tcPr>
          <w:p>
            <w:r>
              <w:t>4.35</w:t>
            </w:r>
          </w:p>
        </w:tc>
      </w:tr>
      <w:tr>
        <w:tc>
          <w:tcPr>
            <w:tcW w:type="dxa" w:w="1728"/>
          </w:tcPr>
          <w:p>
            <w:r>
              <w:t>EN → JA</w:t>
            </w:r>
          </w:p>
        </w:tc>
        <w:tc>
          <w:tcPr>
            <w:tcW w:type="dxa" w:w="1728"/>
          </w:tcPr>
          <w:p>
            <w:r>
              <w:t>4,200</w:t>
            </w:r>
          </w:p>
        </w:tc>
        <w:tc>
          <w:tcPr>
            <w:tcW w:type="dxa" w:w="1728"/>
          </w:tcPr>
          <w:p>
            <w:r>
              <w:t>32.4</w:t>
            </w:r>
          </w:p>
        </w:tc>
        <w:tc>
          <w:tcPr>
            <w:tcW w:type="dxa" w:w="1728"/>
          </w:tcPr>
          <w:p>
            <w:r>
              <w:t>61.2</w:t>
            </w:r>
          </w:p>
        </w:tc>
        <w:tc>
          <w:tcPr>
            <w:tcW w:type="dxa" w:w="1728"/>
          </w:tcPr>
          <w:p>
            <w:r>
              <w:t>3.78</w:t>
            </w:r>
          </w:p>
        </w:tc>
      </w:tr>
      <w:tr>
        <w:tc>
          <w:tcPr>
            <w:tcW w:type="dxa" w:w="1728"/>
          </w:tcPr>
          <w:p>
            <w:r>
              <w:t>EN → ZH</w:t>
            </w:r>
          </w:p>
        </w:tc>
        <w:tc>
          <w:tcPr>
            <w:tcW w:type="dxa" w:w="1728"/>
          </w:tcPr>
          <w:p>
            <w:r>
              <w:t>4,100</w:t>
            </w:r>
          </w:p>
        </w:tc>
        <w:tc>
          <w:tcPr>
            <w:tcW w:type="dxa" w:w="1728"/>
          </w:tcPr>
          <w:p>
            <w:r>
              <w:t>30.1</w:t>
            </w:r>
          </w:p>
        </w:tc>
        <w:tc>
          <w:tcPr>
            <w:tcW w:type="dxa" w:w="1728"/>
          </w:tcPr>
          <w:p>
            <w:r>
              <w:t>58.9</w:t>
            </w:r>
          </w:p>
        </w:tc>
        <w:tc>
          <w:tcPr>
            <w:tcW w:type="dxa" w:w="1728"/>
          </w:tcPr>
          <w:p>
            <w:r>
              <w:t>3.65</w:t>
            </w:r>
          </w:p>
        </w:tc>
      </w:tr>
      <w:tr>
        <w:tc>
          <w:tcPr>
            <w:tcW w:type="dxa" w:w="1728"/>
          </w:tcPr>
          <w:p>
            <w:r>
              <w:t>EN → AR</w:t>
            </w:r>
          </w:p>
        </w:tc>
        <w:tc>
          <w:tcPr>
            <w:tcW w:type="dxa" w:w="1728"/>
          </w:tcPr>
          <w:p>
            <w:r>
              <w:t>3,800</w:t>
            </w:r>
          </w:p>
        </w:tc>
        <w:tc>
          <w:tcPr>
            <w:tcW w:type="dxa" w:w="1728"/>
          </w:tcPr>
          <w:p>
            <w:r>
              <w:t>28.6</w:t>
            </w:r>
          </w:p>
        </w:tc>
        <w:tc>
          <w:tcPr>
            <w:tcW w:type="dxa" w:w="1728"/>
          </w:tcPr>
          <w:p>
            <w:r>
              <w:t>55.4</w:t>
            </w:r>
          </w:p>
        </w:tc>
        <w:tc>
          <w:tcPr>
            <w:tcW w:type="dxa" w:w="1728"/>
          </w:tcPr>
          <w:p>
            <w:r>
              <w:t>3.51</w:t>
            </w:r>
          </w:p>
        </w:tc>
      </w:tr>
      <w:tr>
        <w:tc>
          <w:tcPr>
            <w:tcW w:type="dxa" w:w="1728"/>
          </w:tcPr>
          <w:p>
            <w:r>
              <w:t>EN → RU</w:t>
            </w:r>
          </w:p>
        </w:tc>
        <w:tc>
          <w:tcPr>
            <w:tcW w:type="dxa" w:w="1728"/>
          </w:tcPr>
          <w:p>
            <w:r>
              <w:t>3,200</w:t>
            </w:r>
          </w:p>
        </w:tc>
        <w:tc>
          <w:tcPr>
            <w:tcW w:type="dxa" w:w="1728"/>
          </w:tcPr>
          <w:p>
            <w:r>
              <w:t>39.7</w:t>
            </w:r>
          </w:p>
        </w:tc>
        <w:tc>
          <w:tcPr>
            <w:tcW w:type="dxa" w:w="1728"/>
          </w:tcPr>
          <w:p>
            <w:r>
              <w:t>65.8</w:t>
            </w:r>
          </w:p>
        </w:tc>
        <w:tc>
          <w:tcPr>
            <w:tcW w:type="dxa" w:w="1728"/>
          </w:tcPr>
          <w:p>
            <w:r>
              <w:t>3.92</w:t>
            </w:r>
          </w:p>
        </w:tc>
      </w:tr>
      <w:tr>
        <w:tc>
          <w:tcPr>
            <w:tcW w:type="dxa" w:w="1728"/>
          </w:tcPr>
          <w:p>
            <w:r>
              <w:t>EN → KO</w:t>
            </w:r>
          </w:p>
        </w:tc>
        <w:tc>
          <w:tcPr>
            <w:tcW w:type="dxa" w:w="1728"/>
          </w:tcPr>
          <w:p>
            <w:r>
              <w:t>2,900</w:t>
            </w:r>
          </w:p>
        </w:tc>
        <w:tc>
          <w:tcPr>
            <w:tcW w:type="dxa" w:w="1728"/>
          </w:tcPr>
          <w:p>
            <w:r>
              <w:t>31.2</w:t>
            </w:r>
          </w:p>
        </w:tc>
        <w:tc>
          <w:tcPr>
            <w:tcW w:type="dxa" w:w="1728"/>
          </w:tcPr>
          <w:p>
            <w:r>
              <w:t>60.1</w:t>
            </w:r>
          </w:p>
        </w:tc>
        <w:tc>
          <w:tcPr>
            <w:tcW w:type="dxa" w:w="1728"/>
          </w:tcPr>
          <w:p>
            <w:r>
              <w:t>3.71</w:t>
            </w:r>
          </w:p>
        </w:tc>
      </w:tr>
    </w:tbl>
    <w:p>
      <w:r>
        <w:t>As shown in Table 1, European language pairs achieve the highest scores, while pairs involving Asian or right-to-left scripts lag behind. This gap is consistent with findings from the WMT evaluation campaigns</w:t>
      </w:r>
      <w:r>
        <w:footnoteReference w:id="4"/>
      </w:r>
      <w:r>
        <w:t>.</w:t>
      </w:r>
    </w:p>
    <w:p>
      <w:r>
        <w:rPr>
          <w:i/>
        </w:rPr>
        <w:t>Figure 1: Distribution of quality scores by language family.</w:t>
      </w:r>
    </w:p>
    <w:p>
      <w:bookmarkStart w:id="4" w:name="section_conclusion"/>
      <w:pPr>
        <w:pStyle w:val="Heading1"/>
      </w:pPr>
      <w:r>
        <w:t>4. Conclusion</w:t>
      </w:r>
      <w:bookmarkEnd w:id="4"/>
    </w:p>
    <w:p>
      <w:r>
        <w:t>The 2024 evaluation confirms that our translation system performs best on high-resource European language pairs, with significant room for improvement on Asian and right-to-left languages. Future work should focus on:</w:t>
      </w:r>
    </w:p>
    <w:p>
      <w:pPr>
        <w:pStyle w:val="ListBullet"/>
      </w:pPr>
      <w:r>
        <w:t>Increasing training data for low-resource pairs (see our data augmentation plan)</w:t>
      </w:r>
    </w:p>
    <w:p>
      <w:pPr>
        <w:pStyle w:val="ListBullet"/>
      </w:pPr>
      <w:r>
        <w:t>Improving handling of domain-specific terminology (legal, medical, technical)</w:t>
      </w:r>
    </w:p>
    <w:p>
      <w:pPr>
        <w:pStyle w:val="ListBullet"/>
      </w:pPr>
      <w:r>
        <w:t>Reducing latency for real-time translation use cases</w:t>
      </w:r>
    </w:p>
    <w:p>
      <w:pPr>
        <w:pStyle w:val="ListBullet"/>
      </w:pPr>
      <w:r>
        <w:t>Better support for mixed-language documents (code-switching)</w:t>
      </w:r>
    </w:p>
    <w:p>
      <w:r>
        <w:t xml:space="preserve">For more information, consult our </w:t>
      </w:r>
      <w:hyperlink r:id="rId12">
        <w:r>
          <w:rPr>
            <w:rFonts w:ascii="Calibri" w:hAnsi="Calibri"/>
            <w:color w:val="0563C1"/>
            <w:u w:val="single"/>
          </w:rPr>
          <w:t xml:space="preserve">2024 year in review blog post</w:t>
        </w:r>
      </w:hyperlink>
      <w:r>
        <w:t xml:space="preserve">, the </w:t>
      </w:r>
      <w:hyperlink r:id="rId13">
        <w:r>
          <w:rPr>
            <w:rFonts w:ascii="Calibri" w:hAnsi="Calibri"/>
            <w:color w:val="0563C1"/>
            <w:u w:val="single"/>
          </w:rPr>
          <w:t xml:space="preserve">GitHub repository</w:t>
        </w:r>
      </w:hyperlink>
      <w:r>
        <w:t xml:space="preserve">, or contact us at </w:t>
      </w:r>
      <w:hyperlink r:id="rId14">
        <w:r>
          <w:rPr>
            <w:rFonts w:ascii="Calibri" w:hAnsi="Calibri"/>
            <w:color w:val="0563C1"/>
            <w:u w:val="single"/>
          </w:rPr>
          <w:t xml:space="preserve">quality@office-translator.example.com</w:t>
        </w:r>
      </w:hyperlink>
      <w:r>
        <w:t>.</w:t>
      </w:r>
      <w:r>
        <w:endnoteReference w:id="2"/>
      </w:r>
      <w:r>
        <w:t xml:space="preserve"> Additional benchmarks are available on our </w:t>
      </w:r>
      <w:hyperlink r:id="rId15">
        <w:r>
          <w:rPr>
            <w:rFonts w:ascii="Calibri" w:hAnsi="Calibri"/>
            <w:color w:val="0563C1"/>
            <w:u w:val="single"/>
          </w:rPr>
          <w:t xml:space="preserve">HuggingFace leaderboard</w:t>
        </w:r>
      </w:hyperlink>
      <w:r>
        <w:t>.</w:t>
      </w:r>
    </w:p>
    <w:p>
      <w:bookmarkStart w:id="5" w:name="section_appendix"/>
      <w:pPr>
        <w:pStyle w:val="Heading1"/>
      </w:pPr>
      <w:r>
        <w:t>5. Appendix</w:t>
      </w:r>
      <w:bookmarkEnd w:id="5"/>
    </w:p>
    <w:p>
      <w:pPr>
        <w:pStyle w:val="Heading2"/>
      </w:pPr>
      <w:r>
        <w:t>Appendix A: Glossary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Term</w:t>
            </w:r>
          </w:p>
        </w:tc>
        <w:tc>
          <w:tcPr>
            <w:tcW w:type="dxa" w:w="4320"/>
          </w:tcPr>
          <w:p>
            <w:r>
              <w:t>Definition</w:t>
            </w:r>
          </w:p>
        </w:tc>
      </w:tr>
      <w:tr>
        <w:tc>
          <w:tcPr>
            <w:tcW w:type="dxa" w:w="4320"/>
          </w:tcPr>
          <w:p>
            <w:r>
              <w:t>BLEU</w:t>
            </w:r>
          </w:p>
        </w:tc>
        <w:tc>
          <w:tcPr>
            <w:tcW w:type="dxa" w:w="4320"/>
          </w:tcPr>
          <w:p>
            <w:r>
              <w:t>Bilingual Evaluation Understudy — an n-gram overlap metric.</w:t>
            </w:r>
          </w:p>
        </w:tc>
      </w:tr>
      <w:tr>
        <w:tc>
          <w:tcPr>
            <w:tcW w:type="dxa" w:w="4320"/>
          </w:tcPr>
          <w:p>
            <w:r>
              <w:t>chrF</w:t>
            </w:r>
          </w:p>
        </w:tc>
        <w:tc>
          <w:tcPr>
            <w:tcW w:type="dxa" w:w="4320"/>
          </w:tcPr>
          <w:p>
            <w:r>
              <w:t>Character-level F-score — robust to morphological variation.</w:t>
            </w:r>
          </w:p>
        </w:tc>
      </w:tr>
      <w:tr>
        <w:tc>
          <w:tcPr>
            <w:tcW w:type="dxa" w:w="4320"/>
          </w:tcPr>
          <w:p>
            <w:r>
              <w:t>QE</w:t>
            </w:r>
          </w:p>
        </w:tc>
        <w:tc>
          <w:tcPr>
            <w:tcW w:type="dxa" w:w="4320"/>
          </w:tcPr>
          <w:p>
            <w:r>
              <w:t>Quality Estimation — predicting translation quality without references.</w:t>
            </w:r>
          </w:p>
        </w:tc>
      </w:tr>
      <w:tr>
        <w:tc>
          <w:tcPr>
            <w:tcW w:type="dxa" w:w="4320"/>
          </w:tcPr>
          <w:p>
            <w:r>
              <w:t>MT</w:t>
            </w:r>
          </w:p>
        </w:tc>
        <w:tc>
          <w:tcPr>
            <w:tcW w:type="dxa" w:w="4320"/>
          </w:tcPr>
          <w:p>
            <w:r>
              <w:t>Machine Translation — automated translation between natural languages.</w:t>
            </w:r>
          </w:p>
        </w:tc>
      </w:tr>
      <w:tr>
        <w:tc>
          <w:tcPr>
            <w:tcW w:type="dxa" w:w="4320"/>
          </w:tcPr>
          <w:p>
            <w:r>
              <w:t>LM</w:t>
            </w:r>
          </w:p>
        </w:tc>
        <w:tc>
          <w:tcPr>
            <w:tcW w:type="dxa" w:w="4320"/>
          </w:tcPr>
          <w:p>
            <w:r>
              <w:t>Language Model — a probabilistic model of text sequences.</w:t>
            </w:r>
          </w:p>
        </w:tc>
      </w:tr>
    </w:tbl>
    <w:p>
      <w:pPr>
        <w:pStyle w:val="Heading2"/>
      </w:pPr>
      <w:r>
        <w:t>Appendix B: References</w:t>
      </w:r>
    </w:p>
    <w:p>
      <w:hyperlink r:id="rId16">
        <w:r>
          <w:rPr>
            <w:rFonts w:ascii="Calibri" w:hAnsi="Calibri"/>
            <w:color w:val="0563C1"/>
            <w:u w:val="single"/>
          </w:rPr>
          <w:t xml:space="preserve">Papineni et al. (2002). BLEU.</w:t>
        </w:r>
      </w:hyperlink>
    </w:p>
    <w:p>
      <w:hyperlink r:id="rId17">
        <w:r>
          <w:rPr>
            <w:rFonts w:ascii="Calibri" w:hAnsi="Calibri"/>
            <w:color w:val="0563C1"/>
            <w:u w:val="single"/>
          </w:rPr>
          <w:t xml:space="preserve">Bojar et al. (2015). WMT15.</w:t>
        </w:r>
      </w:hyperlink>
    </w:p>
    <w:p>
      <w:hyperlink r:id="rId18">
        <w:r>
          <w:rPr>
            <w:rFonts w:ascii="Calibri" w:hAnsi="Calibri"/>
            <w:color w:val="0563C1"/>
            <w:u w:val="single"/>
          </w:rPr>
          <w:t xml:space="preserve">Vaswani et al. (2017). Attention is all you need.</w:t>
        </w:r>
      </w:hyperlink>
    </w:p>
    <w:p>
      <w:hyperlink r:id="rId19">
        <w:r>
          <w:rPr>
            <w:rFonts w:ascii="Calibri" w:hAnsi="Calibri"/>
            <w:color w:val="0563C1"/>
            <w:u w:val="single"/>
          </w:rPr>
          <w:t xml:space="preserve">WMT 2024 General Translation Task</w:t>
        </w:r>
      </w:hyperlink>
    </w:p>
    <w:p>
      <w:hyperlink r:id="rId20">
        <w:r>
          <w:rPr>
            <w:rFonts w:ascii="Calibri" w:hAnsi="Calibri"/>
            <w:color w:val="0563C1"/>
            <w:u w:val="single"/>
          </w:rPr>
          <w:t xml:space="preserve">SacreBLEU reference implementation</w:t>
        </w:r>
      </w:hyperlink>
    </w:p>
    <w:p>
      <w:r>
        <w:br w:type="page"/>
      </w:r>
    </w:p>
    <w:p>
      <w:pPr>
        <w:sectPr>
          <w:headerReference w:type="default" r:id="rId21"/>
          <w:footerReference w:type="default" r:id="rId22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>
      <w:pPr>
        <w:pStyle w:val="Heading2"/>
      </w:pPr>
      <w:r>
        <w:t>Appendix C: Detailed Performance Metrics (Landscape)</w:t>
      </w:r>
    </w:p>
    <w:p>
      <w:r>
        <w:t xml:space="preserve">This appendix presents detailed per-domain BLEU scores in a landscape orientation for readability. The data covers four domains: General, Legal, Medical, and Technical. </w:t>
      </w:r>
      <w:r>
        <w:footnoteReference w:id="5"/>
      </w:r>
      <w:r>
        <w:t>Domain detection is performed automatically by our classifier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2040"/>
          </w:tcPr>
          <w:p>
            <w:r>
              <w:rPr>
                <w:b/>
              </w:rPr>
              <w:t>Language Pair</w:t>
            </w:r>
          </w:p>
        </w:tc>
        <w:tc>
          <w:tcPr>
            <w:tcW w:type="dxa" w:w="2040"/>
          </w:tcPr>
          <w:p>
            <w:r>
              <w:rPr>
                <w:b/>
              </w:rPr>
              <w:t>General</w:t>
            </w:r>
          </w:p>
        </w:tc>
        <w:tc>
          <w:tcPr>
            <w:tcW w:type="dxa" w:w="2040"/>
          </w:tcPr>
          <w:p>
            <w:r>
              <w:rPr>
                <w:b/>
              </w:rPr>
              <w:t>Legal</w:t>
            </w:r>
          </w:p>
        </w:tc>
        <w:tc>
          <w:tcPr>
            <w:tcW w:type="dxa" w:w="2040"/>
          </w:tcPr>
          <w:p>
            <w:r>
              <w:rPr>
                <w:b/>
              </w:rPr>
              <w:t>Medical</w:t>
            </w:r>
          </w:p>
        </w:tc>
        <w:tc>
          <w:tcPr>
            <w:tcW w:type="dxa" w:w="2040"/>
          </w:tcPr>
          <w:p>
            <w:r>
              <w:rPr>
                <w:b/>
              </w:rPr>
              <w:t>Technical</w:t>
            </w:r>
          </w:p>
        </w:tc>
        <w:tc>
          <w:tcPr>
            <w:tcW w:type="dxa" w:w="2040"/>
          </w:tcPr>
          <w:p>
            <w:r>
              <w:rPr>
                <w:b/>
              </w:rPr>
              <w:t>Average</w:t>
            </w:r>
          </w:p>
        </w:tc>
      </w:tr>
      <w:tr>
        <w:tc>
          <w:tcPr>
            <w:tcW w:type="dxa" w:w="2040"/>
          </w:tcPr>
          <w:p>
            <w:r>
              <w:t>EN → FR</w:t>
            </w:r>
          </w:p>
        </w:tc>
        <w:tc>
          <w:tcPr>
            <w:tcW w:type="dxa" w:w="2040"/>
          </w:tcPr>
          <w:p>
            <w:r>
              <w:t>48.2</w:t>
            </w:r>
          </w:p>
        </w:tc>
        <w:tc>
          <w:tcPr>
            <w:tcW w:type="dxa" w:w="2040"/>
          </w:tcPr>
          <w:p>
            <w:r>
              <w:t>55.1</w:t>
            </w:r>
          </w:p>
        </w:tc>
        <w:tc>
          <w:tcPr>
            <w:tcW w:type="dxa" w:w="2040"/>
          </w:tcPr>
          <w:p>
            <w:r>
              <w:t>52.3</w:t>
            </w:r>
          </w:p>
        </w:tc>
        <w:tc>
          <w:tcPr>
            <w:tcW w:type="dxa" w:w="2040"/>
          </w:tcPr>
          <w:p>
            <w:r>
              <w:t>47.8</w:t>
            </w:r>
          </w:p>
        </w:tc>
        <w:tc>
          <w:tcPr>
            <w:tcW w:type="dxa" w:w="2040"/>
          </w:tcPr>
          <w:p>
            <w:r>
              <w:t>50.9</w:t>
            </w:r>
          </w:p>
        </w:tc>
      </w:tr>
      <w:tr>
        <w:tc>
          <w:tcPr>
            <w:tcW w:type="dxa" w:w="2040"/>
          </w:tcPr>
          <w:p>
            <w:r>
              <w:t>EN → ES</w:t>
            </w:r>
          </w:p>
        </w:tc>
        <w:tc>
          <w:tcPr>
            <w:tcW w:type="dxa" w:w="2040"/>
          </w:tcPr>
          <w:p>
            <w:r>
              <w:t>51.7</w:t>
            </w:r>
          </w:p>
        </w:tc>
        <w:tc>
          <w:tcPr>
            <w:tcW w:type="dxa" w:w="2040"/>
          </w:tcPr>
          <w:p>
            <w:r>
              <w:t>58.3</w:t>
            </w:r>
          </w:p>
        </w:tc>
        <w:tc>
          <w:tcPr>
            <w:tcW w:type="dxa" w:w="2040"/>
          </w:tcPr>
          <w:p>
            <w:r>
              <w:t>55.1</w:t>
            </w:r>
          </w:p>
        </w:tc>
        <w:tc>
          <w:tcPr>
            <w:tcW w:type="dxa" w:w="2040"/>
          </w:tcPr>
          <w:p>
            <w:r>
              <w:t>50.2</w:t>
            </w:r>
          </w:p>
        </w:tc>
        <w:tc>
          <w:tcPr>
            <w:tcW w:type="dxa" w:w="2040"/>
          </w:tcPr>
          <w:p>
            <w:r>
              <w:t>53.8</w:t>
            </w:r>
          </w:p>
        </w:tc>
      </w:tr>
      <w:tr>
        <w:tc>
          <w:tcPr>
            <w:tcW w:type="dxa" w:w="2040"/>
          </w:tcPr>
          <w:p>
            <w:r>
              <w:t>EN → DE</w:t>
            </w:r>
          </w:p>
        </w:tc>
        <w:tc>
          <w:tcPr>
            <w:tcW w:type="dxa" w:w="2040"/>
          </w:tcPr>
          <w:p>
            <w:r>
              <w:t>45.9</w:t>
            </w:r>
          </w:p>
        </w:tc>
        <w:tc>
          <w:tcPr>
            <w:tcW w:type="dxa" w:w="2040"/>
          </w:tcPr>
          <w:p>
            <w:r>
              <w:t>53.7</w:t>
            </w:r>
          </w:p>
        </w:tc>
        <w:tc>
          <w:tcPr>
            <w:tcW w:type="dxa" w:w="2040"/>
          </w:tcPr>
          <w:p>
            <w:r>
              <w:t>50.2</w:t>
            </w:r>
          </w:p>
        </w:tc>
        <w:tc>
          <w:tcPr>
            <w:tcW w:type="dxa" w:w="2040"/>
          </w:tcPr>
          <w:p>
            <w:r>
              <w:t>46.1</w:t>
            </w:r>
          </w:p>
        </w:tc>
        <w:tc>
          <w:tcPr>
            <w:tcW w:type="dxa" w:w="2040"/>
          </w:tcPr>
          <w:p>
            <w:r>
              <w:t>49.0</w:t>
            </w:r>
          </w:p>
        </w:tc>
      </w:tr>
      <w:tr>
        <w:tc>
          <w:tcPr>
            <w:tcW w:type="dxa" w:w="2040"/>
          </w:tcPr>
          <w:p>
            <w:r>
              <w:t>EN → IT</w:t>
            </w:r>
          </w:p>
        </w:tc>
        <w:tc>
          <w:tcPr>
            <w:tcW w:type="dxa" w:w="2040"/>
          </w:tcPr>
          <w:p>
            <w:r>
              <w:t>47.1</w:t>
            </w:r>
          </w:p>
        </w:tc>
        <w:tc>
          <w:tcPr>
            <w:tcW w:type="dxa" w:w="2040"/>
          </w:tcPr>
          <w:p>
            <w:r>
              <w:t>54.2</w:t>
            </w:r>
          </w:p>
        </w:tc>
        <w:tc>
          <w:tcPr>
            <w:tcW w:type="dxa" w:w="2040"/>
          </w:tcPr>
          <w:p>
            <w:r>
              <w:t>51.6</w:t>
            </w:r>
          </w:p>
        </w:tc>
        <w:tc>
          <w:tcPr>
            <w:tcW w:type="dxa" w:w="2040"/>
          </w:tcPr>
          <w:p>
            <w:r>
              <w:t>47.5</w:t>
            </w:r>
          </w:p>
        </w:tc>
        <w:tc>
          <w:tcPr>
            <w:tcW w:type="dxa" w:w="2040"/>
          </w:tcPr>
          <w:p>
            <w:r>
              <w:t>50.1</w:t>
            </w:r>
          </w:p>
        </w:tc>
      </w:tr>
      <w:tr>
        <w:tc>
          <w:tcPr>
            <w:tcW w:type="dxa" w:w="2040"/>
          </w:tcPr>
          <w:p>
            <w:r>
              <w:t>EN → JA</w:t>
            </w:r>
          </w:p>
        </w:tc>
        <w:tc>
          <w:tcPr>
            <w:tcW w:type="dxa" w:w="2040"/>
          </w:tcPr>
          <w:p>
            <w:r>
              <w:t>32.4</w:t>
            </w:r>
          </w:p>
        </w:tc>
        <w:tc>
          <w:tcPr>
            <w:tcW w:type="dxa" w:w="2040"/>
          </w:tcPr>
          <w:p>
            <w:r>
              <w:t>38.1</w:t>
            </w:r>
          </w:p>
        </w:tc>
        <w:tc>
          <w:tcPr>
            <w:tcW w:type="dxa" w:w="2040"/>
          </w:tcPr>
          <w:p>
            <w:r>
              <w:t>36.5</w:t>
            </w:r>
          </w:p>
        </w:tc>
        <w:tc>
          <w:tcPr>
            <w:tcW w:type="dxa" w:w="2040"/>
          </w:tcPr>
          <w:p>
            <w:r>
              <w:t>33.7</w:t>
            </w:r>
          </w:p>
        </w:tc>
        <w:tc>
          <w:tcPr>
            <w:tcW w:type="dxa" w:w="2040"/>
          </w:tcPr>
          <w:p>
            <w:r>
              <w:t>35.2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="http://schemas.openxmlformats.org/wordprocessingml/2006/main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1">
    <w:p>
      <w:pPr>
        <w:pStyle w:val="EndnoteText"/>
      </w:pPr>
      <w:r>
        <w:rPr>
          <w:rStyle w:val="EndnoteReference"/>
        </w:rPr>
        <w:endnoteRef/>
      </w:r>
      <w:r>
        <w:t xml:space="preserve"> This endnote contains a URL: https://example.com/source1 for further reading.</w:t>
      </w:r>
    </w:p>
  </w:endnote>
  <w:endnote w:id="2">
    <w:p>
      <w:pPr>
        <w:pStyle w:val="EndnoteText"/>
      </w:pPr>
      <w:r>
        <w:rPr>
          <w:rStyle w:val="EndnoteReference"/>
        </w:rPr>
        <w:endnoteRef/>
      </w:r>
      <w:r>
        <w:t xml:space="preserve"> Reference: Smith, J. et al. (2023). Advanced Translation Techniques. Publisher.</w:t>
      </w:r>
    </w:p>
  </w:endnote>
  <w:endnote w:id="3">
    <w:p>
      <w:pPr>
        <w:pStyle w:val="EndnoteText"/>
      </w:pPr>
      <w:r>
        <w:rPr>
          <w:rStyle w:val="EndnoteReference"/>
        </w:rPr>
        <w:endnoteRef/>
      </w:r>
      <w:r>
        <w:t xml:space="preserve"> For a complete bibliography, see the References section at the end of this document.</w:t>
      </w:r>
    </w:p>
  </w:endnote>
  <w:endnote w:id="4">
    <w:p>
      <w:pPr>
        <w:pStyle w:val="EndnoteText"/>
      </w:pPr>
      <w:r>
        <w:rPr>
          <w:rStyle w:val="EndnoteReference"/>
        </w:rPr>
        <w:endnoteRef/>
      </w:r>
      <w:r>
        <w:t xml:space="preserve"> Note that some technical terms may have multiple valid translations depending on context.</w:t>
      </w:r>
    </w:p>
  </w:endnote>
  <w:endnote w:id="5">
    <w:p>
      <w:pPr>
        <w:pStyle w:val="EndnoteText"/>
      </w:pPr>
      <w:r>
        <w:rPr>
          <w:rStyle w:val="EndnoteReference"/>
        </w:rPr>
        <w:endnoteRef/>
      </w:r>
      <w:r>
        <w:t xml:space="preserve"> Endnotes are collected at the end of the document, unlike footnotes which appear on each page.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© 2024 Office Translator — Internal Use Only</w:t>
    </w:r>
  </w:p>
</w:ftr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This footnote references a recent study on machine translation quality.</w:t>
      </w:r>
    </w:p>
  </w:footnote>
  <w:footnote w:id="2">
    <w:p>
      <w:pPr>
        <w:pStyle w:val="FootnoteText"/>
      </w:pPr>
      <w:r>
        <w:rPr>
          <w:rStyle w:val="FootnoteReference"/>
        </w:rPr>
        <w:footnoteRef/>
      </w:r>
      <w:r>
        <w:t xml:space="preserve"> See the appendix for additional technical details on this topic.</w:t>
      </w:r>
    </w:p>
  </w:footnote>
  <w:footnote w:id="3">
    <w:p>
      <w:pPr>
        <w:pStyle w:val="FootnoteText"/>
      </w:pPr>
      <w:r>
        <w:rPr>
          <w:rStyle w:val="FootnoteReference"/>
        </w:rPr>
        <w:footnoteRef/>
      </w:r>
      <w:r>
        <w:t xml:space="preserve"> Translation quality is often measured using BLEU or chrF scores.</w:t>
      </w:r>
    </w:p>
  </w:footnote>
  <w:footnote w:id="4">
    <w:p>
      <w:pPr>
        <w:pStyle w:val="FootnoteText"/>
      </w:pPr>
      <w:r>
        <w:rPr>
          <w:rStyle w:val="FootnoteReference"/>
        </w:rPr>
        <w:footnoteRef/>
      </w:r>
      <w:r>
        <w:t xml:space="preserve"> Neural machine translation has largely replaced statistical methods since 2016.</w:t>
      </w:r>
    </w:p>
  </w:footnote>
  <w:footnote w:id="5">
    <w:p>
      <w:pPr>
        <w:pStyle w:val="FootnoteText"/>
      </w:pPr>
      <w:r>
        <w:rPr>
          <w:rStyle w:val="FootnoteReference"/>
        </w:rPr>
        <w:footnoteRef/>
      </w:r>
      <w:r>
        <w:t xml:space="preserve"> Source language identification is critical for low-resource languages.</w:t>
      </w:r>
    </w:p>
  </w:footnote>
  <w:footnote w:id="6">
    <w:p>
      <w:pPr>
        <w:pStyle w:val="FootnoteText"/>
      </w:pPr>
      <w:r>
        <w:rPr>
          <w:rStyle w:val="FootnoteReference"/>
        </w:rPr>
        <w:footnoteRef/>
      </w:r>
      <w:r>
        <w:t xml:space="preserve"> For a comprehensive review of transformer architectures, see Vaswani et al. 2017.</w:t>
      </w:r>
    </w:p>
  </w:footnote>
  <w:footnote w:id="7">
    <w:p>
      <w:pPr>
        <w:pStyle w:val="FootnoteText"/>
      </w:pPr>
      <w:r>
        <w:rPr>
          <w:rStyle w:val="FootnoteReference"/>
        </w:rPr>
        <w:footnoteRef/>
      </w:r>
      <w:r>
        <w:t xml:space="preserve"> Back-translation is a common technique for data augmentation in MT.</w:t>
      </w:r>
    </w:p>
  </w:footnote>
  <w:footnote w:id="8">
    <w:p>
      <w:pPr>
        <w:pStyle w:val="FootnoteText"/>
      </w:pPr>
      <w:r>
        <w:rPr>
          <w:rStyle w:val="FootnoteReference"/>
        </w:rPr>
        <w:footnoteRef/>
      </w:r>
      <w:r>
        <w:t xml:space="preserve"> Domain adaptation can significantly improve performance on specialized texts.</w:t>
      </w:r>
    </w:p>
  </w:footnote>
  <w:footnote w:id="9">
    <w:p>
      <w:pPr>
        <w:pStyle w:val="FootnoteText"/>
      </w:pPr>
      <w:r>
        <w:rPr>
          <w:rStyle w:val="FootnoteReference"/>
        </w:rPr>
        <w:footnoteRef/>
      </w:r>
      <w:r>
        <w:t xml:space="preserve"> Low-resource languages remain a major challenge in modern MT systems.</w:t>
      </w:r>
    </w:p>
  </w:footnote>
  <w:footnote w:id="10">
    <w:p>
      <w:pPr>
        <w:pStyle w:val="FootnoteText"/>
      </w:pPr>
      <w:r>
        <w:rPr>
          <w:rStyle w:val="FootnoteReference"/>
        </w:rPr>
        <w:footnoteRef/>
      </w:r>
      <w:r>
        <w:t xml:space="preserve"> Quality estimation (QE) predicts translation quality without reference translations.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Office Translator — Confidential Quality Report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office-translator.example.com" TargetMode="External"/><Relationship Id="rId10" Type="http://schemas.openxmlformats.org/officeDocument/2006/relationships/hyperlink" Target="https://www.example.com/dataset-2024" TargetMode="External"/><Relationship Id="rId11" Type="http://schemas.openxmlformats.org/officeDocument/2006/relationships/hyperlink" Target="https://www.example.com/paper.pdf" TargetMode="External"/><Relationship Id="rId12" Type="http://schemas.openxmlformats.org/officeDocument/2006/relationships/hyperlink" Target="https://blog.office-translator.example.com/2024-review" TargetMode="External"/><Relationship Id="rId13" Type="http://schemas.openxmlformats.org/officeDocument/2006/relationships/hyperlink" Target="https://github.com/sepehr/office_translator" TargetMode="External"/><Relationship Id="rId14" Type="http://schemas.openxmlformats.org/officeDocument/2006/relationships/hyperlink" Target="mailto:quality@office-translator.example.com" TargetMode="External"/><Relationship Id="rId15" Type="http://schemas.openxmlformats.org/officeDocument/2006/relationships/hyperlink" Target="https://huggingface.co/spaces/office-translator/benchmarks" TargetMode="External"/><Relationship Id="rId16" Type="http://schemas.openxmlformats.org/officeDocument/2006/relationships/hyperlink" Target="https://www.aclweb.org/anthology/P02-1040.pdf" TargetMode="External"/><Relationship Id="rId17" Type="http://schemas.openxmlformats.org/officeDocument/2006/relationships/hyperlink" Target="https://www.statmt.org/wmt15/pdf/WMT19.pdf" TargetMode="External"/><Relationship Id="rId18" Type="http://schemas.openxmlformats.org/officeDocument/2006/relationships/hyperlink" Target="https://arxiv.org/abs/1706.03762" TargetMode="External"/><Relationship Id="rId19" Type="http://schemas.openxmlformats.org/officeDocument/2006/relationships/hyperlink" Target="https://www.statmt.org/wmt24/" TargetMode="External"/><Relationship Id="rId20" Type="http://schemas.openxmlformats.org/officeDocument/2006/relationships/hyperlink" Target="https://github.com/mjpost/sacrebleu" TargetMode="External"/><Relationship Id="rId21" Type="http://schemas.openxmlformats.org/officeDocument/2006/relationships/header" Target="header1.xml"/><Relationship Id="rId22" Type="http://schemas.openxmlformats.org/officeDocument/2006/relationships/footer" Target="footer1.xml"/><Relationship Id="rIdFootnotes" Type="http://schemas.openxmlformats.org/officeDocument/2006/relationships/footnotes" Target="footnotes.xml"/><Relationship Id="rIdEndnotes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