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Annual Business Report 2024</w:t>
      </w:r>
    </w:p>
    <w:p>
      <w:pPr>
        <w:jc w:val="center"/>
      </w:pPr>
      <w:r>
        <w:rPr>
          <w:i/>
          <w:color w:val="0070C0"/>
          <w:sz w:val="28"/>
        </w:rPr>
        <w:t>Comprehensive Analysis and Future Outlook</w:t>
      </w:r>
    </w:p>
    <w:p>
      <w:r>
        <w:br w:type="page"/>
      </w:r>
    </w:p>
    <w:p>
      <w:pPr>
        <w:pStyle w:val="Heading1"/>
      </w:pPr>
      <w:r>
        <w:t>Executive Summary</w:t>
      </w:r>
    </w:p>
    <w:p>
      <w:r>
        <w:t xml:space="preserve">This report provides a comprehensive overview of our company's performance in 2024. </w:t>
      </w:r>
      <w:r>
        <w:rPr>
          <w:b/>
        </w:rPr>
        <w:t xml:space="preserve">Key achievements include: </w:t>
      </w:r>
      <w:r>
        <w:t>revenue growth of 25%, expansion into 5 new markets, and the successful launch of 3 innovative products.</w:t>
      </w:r>
    </w:p>
    <w:p>
      <w:pPr>
        <w:pStyle w:val="ListBullet"/>
      </w:pPr>
      <w:r>
        <w:t>Revenue increased by 25% year-over-year</w:t>
      </w:r>
    </w:p>
    <w:p>
      <w:pPr>
        <w:pStyle w:val="ListBullet"/>
      </w:pPr>
      <w:r>
        <w:t>Customer satisfaction rating improved to 94%</w:t>
      </w:r>
    </w:p>
    <w:p>
      <w:pPr>
        <w:pStyle w:val="ListBullet"/>
      </w:pPr>
      <w:r>
        <w:t>Employee retention rate reached 92%</w:t>
      </w:r>
    </w:p>
    <w:p>
      <w:pPr>
        <w:pStyle w:val="ListBullet"/>
      </w:pPr>
      <w:r>
        <w:t>Carbon footprint reduced by 15%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572000" cy="22570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rd_char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5706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Performance Metrics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Metric</w:t>
            </w:r>
          </w:p>
        </w:tc>
        <w:tc>
          <w:tcPr>
            <w:tcW w:type="dxa" w:w="2880"/>
          </w:tcPr>
          <w:p>
            <w:r>
              <w:rPr>
                <w:b/>
              </w:rPr>
              <w:t>Target</w:t>
            </w:r>
          </w:p>
        </w:tc>
        <w:tc>
          <w:tcPr>
            <w:tcW w:type="dxa" w:w="2880"/>
          </w:tcPr>
          <w:p>
            <w:r>
              <w:rPr>
                <w:b/>
              </w:rPr>
              <w:t>Actual</w:t>
            </w:r>
          </w:p>
        </w:tc>
      </w:tr>
      <w:tr>
        <w:tc>
          <w:tcPr>
            <w:tcW w:type="dxa" w:w="2880"/>
          </w:tcPr>
          <w:p>
            <w:r>
              <w:t>Revenue Growth</w:t>
            </w:r>
          </w:p>
        </w:tc>
        <w:tc>
          <w:tcPr>
            <w:tcW w:type="dxa" w:w="2880"/>
          </w:tcPr>
          <w:p>
            <w:r>
              <w:t>20%</w:t>
            </w:r>
          </w:p>
        </w:tc>
        <w:tc>
          <w:tcPr>
            <w:tcW w:type="dxa" w:w="2880"/>
          </w:tcPr>
          <w:p>
            <w:r>
              <w:t>25%</w:t>
            </w:r>
          </w:p>
        </w:tc>
      </w:tr>
      <w:tr>
        <w:tc>
          <w:tcPr>
            <w:tcW w:type="dxa" w:w="2880"/>
          </w:tcPr>
          <w:p>
            <w:r>
              <w:t>Customer Acquisition</w:t>
            </w:r>
          </w:p>
        </w:tc>
        <w:tc>
          <w:tcPr>
            <w:tcW w:type="dxa" w:w="2880"/>
          </w:tcPr>
          <w:p>
            <w:r>
              <w:t>5,000</w:t>
            </w:r>
          </w:p>
        </w:tc>
        <w:tc>
          <w:tcPr>
            <w:tcW w:type="dxa" w:w="2880"/>
          </w:tcPr>
          <w:p>
            <w:r>
              <w:t>6,200</w:t>
            </w:r>
          </w:p>
        </w:tc>
      </w:tr>
      <w:tr>
        <w:tc>
          <w:tcPr>
            <w:tcW w:type="dxa" w:w="2880"/>
          </w:tcPr>
          <w:p>
            <w:r>
              <w:t>Market Share</w:t>
            </w:r>
          </w:p>
        </w:tc>
        <w:tc>
          <w:tcPr>
            <w:tcW w:type="dxa" w:w="2880"/>
          </w:tcPr>
          <w:p>
            <w:r>
              <w:t>15%</w:t>
            </w:r>
          </w:p>
        </w:tc>
        <w:tc>
          <w:tcPr>
            <w:tcW w:type="dxa" w:w="2880"/>
          </w:tcPr>
          <w:p>
            <w:r>
              <w:t>18%</w:t>
            </w:r>
          </w:p>
        </w:tc>
      </w:tr>
      <w:tr>
        <w:tc>
          <w:tcPr>
            <w:tcW w:type="dxa" w:w="2880"/>
          </w:tcPr>
          <w:p>
            <w:r>
              <w:t>Product Launches</w:t>
            </w:r>
          </w:p>
        </w:tc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</w:tbl>
    <w:p>
      <w:pPr>
        <w:pStyle w:val="Heading2"/>
      </w:pPr>
      <w:r>
        <w:t>Future Outlook</w:t>
      </w:r>
    </w:p>
    <w:p>
      <w:r>
        <w:t xml:space="preserve">Looking ahead to 2025, we are optimistic about continued growth. </w:t>
      </w:r>
      <w:r>
        <w:rPr>
          <w:b/>
        </w:rPr>
        <w:t>Our strategic initiatives include:</w:t>
      </w:r>
    </w:p>
    <w:p>
      <w:pPr>
        <w:pStyle w:val="ListNumber"/>
      </w:pPr>
      <w:r>
        <w:t>Digital transformation across all departments</w:t>
      </w:r>
    </w:p>
    <w:p>
      <w:pPr>
        <w:pStyle w:val="ListNumber"/>
      </w:pPr>
      <w:r>
        <w:t>Expansion into Asian markets</w:t>
      </w:r>
    </w:p>
    <w:p>
      <w:pPr>
        <w:pStyle w:val="ListNumber"/>
      </w:pPr>
      <w:r>
        <w:t>Investment in sustainable technologies</w:t>
      </w:r>
    </w:p>
    <w:p>
      <w:pPr>
        <w:pStyle w:val="ListNumber"/>
      </w:pPr>
      <w:r>
        <w:t>Enhanced customer experience programs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657600" cy="27432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rd_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Confidential - Annual Report 2024 | Page 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