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  <w:color w:val="0066CC"/>
          <w:sz w:val="56"/>
        </w:rPr>
        <w:t>RAPPORT STRATÉGIQUE ANNUEL</w:t>
      </w:r>
    </w:p>
    <w:p>
      <w:pPr>
        <w:jc w:val="center"/>
      </w:pPr>
      <w:r>
        <w:rPr>
          <w:i/>
          <w:color w:val="666666"/>
          <w:sz w:val="32"/>
        </w:rPr>
        <w:t>Analyse Complète des Performances et Perspectives 2024-2025</w:t>
      </w:r>
    </w:p>
    <w:p>
      <w:r>
        <w:br/>
        <w:br/>
        <w:br/>
      </w:r>
    </w:p>
    <w:p>
      <w:pPr>
        <w:jc w:val="center"/>
      </w:pPr>
      <w:r>
        <w:rPr>
          <w:sz w:val="28"/>
        </w:rPr>
        <w:t>Société: TechnoVision International</w:t>
        <w:br/>
      </w:r>
      <w:r>
        <w:rPr>
          <w:sz w:val="24"/>
        </w:rPr>
        <w:t>Département: Analyse Stratégique</w:t>
        <w:br/>
      </w:r>
      <w:r>
        <w:rPr>
          <w:sz w:val="24"/>
        </w:rPr>
        <w:t>Date: 31 Décembre 2024</w:t>
      </w:r>
    </w:p>
    <w:p>
      <w:r>
        <w:br w:type="page"/>
      </w:r>
    </w:p>
    <w:p>
      <w:pPr>
        <w:pStyle w:val="Heading1"/>
      </w:pPr>
      <w:r>
        <w:t>Table des Matières</w:t>
      </w:r>
    </w:p>
    <w:p>
      <w:pPr>
        <w:pStyle w:val="ListNumber"/>
      </w:pPr>
      <w:r>
        <w:rPr>
          <w:sz w:val="24"/>
        </w:rPr>
        <w:t>1. Résumé Exécutif</w:t>
      </w:r>
    </w:p>
    <w:p>
      <w:pPr>
        <w:pStyle w:val="ListNumber"/>
      </w:pPr>
      <w:r>
        <w:rPr>
          <w:sz w:val="24"/>
        </w:rPr>
        <w:t>2. Analyse des Performances Financières</w:t>
      </w:r>
    </w:p>
    <w:p>
      <w:pPr>
        <w:pStyle w:val="ListNumber"/>
      </w:pPr>
      <w:r>
        <w:rPr>
          <w:sz w:val="24"/>
        </w:rPr>
        <w:t>3. Objectifs Stratégiques</w:t>
      </w:r>
    </w:p>
    <w:p>
      <w:pPr>
        <w:pStyle w:val="ListNumber"/>
      </w:pPr>
      <w:r>
        <w:rPr>
          <w:sz w:val="24"/>
        </w:rPr>
        <w:t>4. Analyse de Marché</w:t>
      </w:r>
    </w:p>
    <w:p>
      <w:pPr>
        <w:pStyle w:val="ListNumber"/>
      </w:pPr>
      <w:r>
        <w:rPr>
          <w:sz w:val="24"/>
        </w:rPr>
        <w:t>5. Recommandations</w:t>
      </w:r>
    </w:p>
    <w:p>
      <w:pPr>
        <w:pStyle w:val="ListNumber"/>
      </w:pPr>
      <w:r>
        <w:rPr>
          <w:sz w:val="24"/>
        </w:rPr>
        <w:t>6. Conclusion</w:t>
      </w:r>
    </w:p>
    <w:p>
      <w:r>
        <w:br w:type="page"/>
      </w:r>
    </w:p>
    <w:p>
      <w:pPr>
        <w:pStyle w:val="Heading1"/>
      </w:pPr>
      <w:r>
        <w:t>1. Résumé Exécutif</w:t>
      </w:r>
    </w:p>
    <w:p>
      <w:pPr>
        <w:jc w:val="both"/>
      </w:pPr>
      <w:r>
        <w:rPr>
          <w:sz w:val="22"/>
        </w:rPr>
        <w:t xml:space="preserve">Ce rapport présente une analyse détaillée </w:t>
      </w:r>
      <w:r>
        <w:rPr>
          <w:b/>
        </w:rPr>
        <w:t>des performances exceptionnelles</w:t>
      </w:r>
      <w:r>
        <w:rPr>
          <w:sz w:val="22"/>
        </w:rPr>
        <w:t xml:space="preserve"> de notre entreprise au cours de l'année 2024. </w:t>
      </w:r>
      <w:r>
        <w:rPr>
          <w:i/>
        </w:rPr>
        <w:t>Nous avons atteint et dépassé</w:t>
      </w:r>
      <w:r>
        <w:rPr>
          <w:sz w:val="22"/>
        </w:rPr>
        <w:t xml:space="preserve"> nos objectifs dans tous les domaines clés.</w:t>
      </w:r>
    </w:p>
    <w:p>
      <w:pPr>
        <w:pStyle w:val="Heading2"/>
      </w:pPr>
      <w:r>
        <w:t>Points Clés</w:t>
      </w:r>
    </w:p>
    <w:p>
      <w:pPr>
        <w:pStyle w:val="ListBullet"/>
      </w:pPr>
      <w:r>
        <w:rPr>
          <w:sz w:val="22"/>
        </w:rPr>
        <w:t>Croissance du chiffre d'affaires de 28% par rapport à 2023</w:t>
      </w:r>
    </w:p>
    <w:p>
      <w:pPr>
        <w:pStyle w:val="ListBullet"/>
      </w:pPr>
      <w:r>
        <w:rPr>
          <w:sz w:val="22"/>
        </w:rPr>
        <w:t>Expansion réussie dans 5 nouveaux marchés internationaux</w:t>
      </w:r>
    </w:p>
    <w:p>
      <w:pPr>
        <w:pStyle w:val="ListBullet"/>
      </w:pPr>
      <w:r>
        <w:rPr>
          <w:sz w:val="22"/>
        </w:rPr>
        <w:t>Lancement de 8 produits innovants avec taux d'adoption de 87%</w:t>
      </w:r>
    </w:p>
    <w:p>
      <w:pPr>
        <w:pStyle w:val="ListBullet"/>
      </w:pPr>
      <w:r>
        <w:rPr>
          <w:sz w:val="22"/>
        </w:rPr>
        <w:t>Amélioration de la satisfaction client: score de 4.8/5</w:t>
      </w:r>
    </w:p>
    <w:p>
      <w:pPr>
        <w:pStyle w:val="ListBullet"/>
      </w:pPr>
      <w:r>
        <w:rPr>
          <w:sz w:val="22"/>
        </w:rPr>
        <w:t>Réduction de l'empreinte carbone de 22%</w:t>
      </w:r>
    </w:p>
    <w:p>
      <w:pPr>
        <w:pStyle w:val="ListBullet"/>
      </w:pPr>
      <w:r>
        <w:rPr>
          <w:sz w:val="22"/>
        </w:rPr>
        <w:t>Augmentation de la part de marché de 3.5 points</w:t>
      </w:r>
    </w:p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2339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rd_performance_char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39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Heading1"/>
      </w:pPr>
      <w:r>
        <w:t>2. Analyse des Performances Financières</w:t>
      </w:r>
    </w:p>
    <w:p>
      <w:pPr>
        <w:pStyle w:val="Heading2"/>
      </w:pPr>
      <w:r>
        <w:t>2.1 Résultats par Trimestre</w:t>
      </w:r>
    </w:p>
    <w:tbl>
      <w:tblPr>
        <w:tblStyle w:val="MediumGrid3-Accent1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</w:tcPr>
          <w:p>
            <w:r>
              <w:rPr>
                <w:b/>
                <w:sz w:val="20"/>
              </w:rPr>
              <w:t>Trimestre</w:t>
            </w:r>
          </w:p>
        </w:tc>
        <w:tc>
          <w:tcPr>
            <w:tcW w:type="dxa" w:w="1568"/>
          </w:tcPr>
          <w:p>
            <w:r>
              <w:rPr>
                <w:b/>
                <w:sz w:val="20"/>
              </w:rPr>
              <w:t>Revenus (M€)</w:t>
            </w:r>
          </w:p>
        </w:tc>
        <w:tc>
          <w:tcPr>
            <w:tcW w:type="dxa" w:w="1568"/>
          </w:tcPr>
          <w:p>
            <w:r>
              <w:rPr>
                <w:b/>
                <w:sz w:val="20"/>
              </w:rPr>
              <w:t>Coûts (M€)</w:t>
            </w:r>
          </w:p>
        </w:tc>
        <w:tc>
          <w:tcPr>
            <w:tcW w:type="dxa" w:w="1568"/>
          </w:tcPr>
          <w:p>
            <w:r>
              <w:rPr>
                <w:b/>
                <w:sz w:val="20"/>
              </w:rPr>
              <w:t>Marge Brute</w:t>
            </w:r>
          </w:p>
        </w:tc>
        <w:tc>
          <w:tcPr>
            <w:tcW w:type="dxa" w:w="1568"/>
          </w:tcPr>
          <w:p>
            <w:r>
              <w:rPr>
                <w:b/>
                <w:sz w:val="20"/>
              </w:rPr>
              <w:t>Marge %</w:t>
            </w:r>
          </w:p>
        </w:tc>
        <w:tc>
          <w:tcPr>
            <w:tcW w:type="dxa" w:w="1568"/>
          </w:tcPr>
          <w:p>
            <w:r>
              <w:rPr>
                <w:b/>
                <w:sz w:val="20"/>
              </w:rPr>
              <w:t>Croissance</w:t>
            </w:r>
          </w:p>
        </w:tc>
      </w:tr>
      <w:tr>
        <w:tc>
          <w:tcPr>
            <w:tcW w:type="dxa" w:w="1568"/>
          </w:tcPr>
          <w:p>
            <w:r>
              <w:t>Q1 2024</w:t>
            </w:r>
          </w:p>
        </w:tc>
        <w:tc>
          <w:tcPr>
            <w:tcW w:type="dxa" w:w="1568"/>
          </w:tcPr>
          <w:p>
            <w:r>
              <w:t>45.2</w:t>
            </w:r>
          </w:p>
        </w:tc>
        <w:tc>
          <w:tcPr>
            <w:tcW w:type="dxa" w:w="1568"/>
          </w:tcPr>
          <w:p>
            <w:r>
              <w:t>28.5</w:t>
            </w:r>
          </w:p>
        </w:tc>
        <w:tc>
          <w:tcPr>
            <w:tcW w:type="dxa" w:w="1568"/>
          </w:tcPr>
          <w:p>
            <w:r>
              <w:t>16.7</w:t>
            </w:r>
          </w:p>
        </w:tc>
        <w:tc>
          <w:tcPr>
            <w:tcW w:type="dxa" w:w="1568"/>
          </w:tcPr>
          <w:p>
            <w:r>
              <w:t>36.9%</w:t>
            </w:r>
          </w:p>
        </w:tc>
        <w:tc>
          <w:tcPr>
            <w:tcW w:type="dxa" w:w="1568"/>
          </w:tcPr>
          <w:p>
            <w:r>
              <w:t>+8.5%</w:t>
            </w:r>
          </w:p>
        </w:tc>
      </w:tr>
      <w:tr>
        <w:tc>
          <w:tcPr>
            <w:tcW w:type="dxa" w:w="1568"/>
          </w:tcPr>
          <w:p>
            <w:r>
              <w:t>Q2 2024</w:t>
            </w:r>
          </w:p>
        </w:tc>
        <w:tc>
          <w:tcPr>
            <w:tcW w:type="dxa" w:w="1568"/>
          </w:tcPr>
          <w:p>
            <w:r>
              <w:t>52.8</w:t>
            </w:r>
          </w:p>
        </w:tc>
        <w:tc>
          <w:tcPr>
            <w:tcW w:type="dxa" w:w="1568"/>
          </w:tcPr>
          <w:p>
            <w:r>
              <w:t>32.1</w:t>
            </w:r>
          </w:p>
        </w:tc>
        <w:tc>
          <w:tcPr>
            <w:tcW w:type="dxa" w:w="1568"/>
          </w:tcPr>
          <w:p>
            <w:r>
              <w:t>20.7</w:t>
            </w:r>
          </w:p>
        </w:tc>
        <w:tc>
          <w:tcPr>
            <w:tcW w:type="dxa" w:w="1568"/>
          </w:tcPr>
          <w:p>
            <w:r>
              <w:t>39.2%</w:t>
            </w:r>
          </w:p>
        </w:tc>
        <w:tc>
          <w:tcPr>
            <w:tcW w:type="dxa" w:w="1568"/>
          </w:tcPr>
          <w:p>
            <w:r>
              <w:t>+16.8%</w:t>
            </w:r>
          </w:p>
        </w:tc>
      </w:tr>
      <w:tr>
        <w:tc>
          <w:tcPr>
            <w:tcW w:type="dxa" w:w="1568"/>
          </w:tcPr>
          <w:p>
            <w:r>
              <w:t>Q3 2024</w:t>
            </w:r>
          </w:p>
        </w:tc>
        <w:tc>
          <w:tcPr>
            <w:tcW w:type="dxa" w:w="1568"/>
          </w:tcPr>
          <w:p>
            <w:r>
              <w:t>61.5</w:t>
            </w:r>
          </w:p>
        </w:tc>
        <w:tc>
          <w:tcPr>
            <w:tcW w:type="dxa" w:w="1568"/>
          </w:tcPr>
          <w:p>
            <w:r>
              <w:t>36.8</w:t>
            </w:r>
          </w:p>
        </w:tc>
        <w:tc>
          <w:tcPr>
            <w:tcW w:type="dxa" w:w="1568"/>
          </w:tcPr>
          <w:p>
            <w:r>
              <w:t>24.7</w:t>
            </w:r>
          </w:p>
        </w:tc>
        <w:tc>
          <w:tcPr>
            <w:tcW w:type="dxa" w:w="1568"/>
          </w:tcPr>
          <w:p>
            <w:r>
              <w:t>40.2%</w:t>
            </w:r>
          </w:p>
        </w:tc>
        <w:tc>
          <w:tcPr>
            <w:tcW w:type="dxa" w:w="1568"/>
          </w:tcPr>
          <w:p>
            <w:r>
              <w:t>+16.5%</w:t>
            </w:r>
          </w:p>
        </w:tc>
      </w:tr>
      <w:tr>
        <w:tc>
          <w:tcPr>
            <w:tcW w:type="dxa" w:w="1568"/>
          </w:tcPr>
          <w:p>
            <w:r>
              <w:t>Q4 2024</w:t>
            </w:r>
          </w:p>
        </w:tc>
        <w:tc>
          <w:tcPr>
            <w:tcW w:type="dxa" w:w="1568"/>
          </w:tcPr>
          <w:p>
            <w:r>
              <w:t>68.3</w:t>
            </w:r>
          </w:p>
        </w:tc>
        <w:tc>
          <w:tcPr>
            <w:tcW w:type="dxa" w:w="1568"/>
          </w:tcPr>
          <w:p>
            <w:r>
              <w:t>40.2</w:t>
            </w:r>
          </w:p>
        </w:tc>
        <w:tc>
          <w:tcPr>
            <w:tcW w:type="dxa" w:w="1568"/>
          </w:tcPr>
          <w:p>
            <w:r>
              <w:t>28.1</w:t>
            </w:r>
          </w:p>
        </w:tc>
        <w:tc>
          <w:tcPr>
            <w:tcW w:type="dxa" w:w="1568"/>
          </w:tcPr>
          <w:p>
            <w:r>
              <w:t>41.1%</w:t>
            </w:r>
          </w:p>
        </w:tc>
        <w:tc>
          <w:tcPr>
            <w:tcW w:type="dxa" w:w="1568"/>
          </w:tcPr>
          <w:p>
            <w:r>
              <w:t>+11.1%</w:t>
            </w:r>
          </w:p>
        </w:tc>
      </w:tr>
      <w:tr>
        <w:tc>
          <w:tcPr>
            <w:tcW w:type="dxa" w:w="1568"/>
            <w:shd w:fill="FFD700"/>
          </w:tcPr>
          <w:p>
            <w:r>
              <w:rPr>
                <w:b/>
              </w:rPr>
              <w:t>TOTAL</w:t>
            </w:r>
          </w:p>
        </w:tc>
        <w:tc>
          <w:tcPr>
            <w:tcW w:type="dxa" w:w="1568"/>
            <w:shd w:fill="FFD700"/>
          </w:tcPr>
          <w:p>
            <w:r>
              <w:rPr>
                <w:b/>
              </w:rPr>
              <w:t>227.8</w:t>
            </w:r>
          </w:p>
        </w:tc>
        <w:tc>
          <w:tcPr>
            <w:tcW w:type="dxa" w:w="1568"/>
            <w:shd w:fill="FFD700"/>
          </w:tcPr>
          <w:p>
            <w:r>
              <w:rPr>
                <w:b/>
              </w:rPr>
              <w:t>137.6</w:t>
            </w:r>
          </w:p>
        </w:tc>
        <w:tc>
          <w:tcPr>
            <w:tcW w:type="dxa" w:w="1568"/>
            <w:shd w:fill="FFD700"/>
          </w:tcPr>
          <w:p>
            <w:r>
              <w:rPr>
                <w:b/>
              </w:rPr>
              <w:t>90.2</w:t>
            </w:r>
          </w:p>
        </w:tc>
        <w:tc>
          <w:tcPr>
            <w:tcW w:type="dxa" w:w="1568"/>
            <w:shd w:fill="FFD700"/>
          </w:tcPr>
          <w:p>
            <w:r>
              <w:rPr>
                <w:b/>
              </w:rPr>
              <w:t>39.6%</w:t>
            </w:r>
          </w:p>
        </w:tc>
        <w:tc>
          <w:tcPr>
            <w:tcW w:type="dxa" w:w="1568"/>
            <w:shd w:fill="FFD700"/>
          </w:tcPr>
          <w:p>
            <w:r>
              <w:rPr>
                <w:b/>
              </w:rPr>
              <w:t>28.0%</w:t>
            </w:r>
          </w:p>
        </w:tc>
      </w:tr>
    </w:tbl>
    <w:p/>
    <w:p>
      <w:pPr>
        <w:pStyle w:val="Heading2"/>
      </w:pPr>
      <w:r>
        <w:t>2.2 Analyse Comparative</w:t>
      </w:r>
    </w:p>
    <w:p>
      <w:pPr>
        <w:jc w:val="both"/>
      </w:pPr>
      <w:r>
        <w:rPr>
          <w:b/>
        </w:rPr>
        <w:t xml:space="preserve">Comparaison avec les objectifs annuels: </w:t>
      </w:r>
      <w:r>
        <w:t xml:space="preserve">Notre performance a dépassé les objectifs fixés de </w:t>
      </w:r>
      <w:r>
        <w:rPr>
          <w:b/>
        </w:rPr>
        <w:t>13.5%</w:t>
      </w:r>
      <w:r>
        <w:t>, démontrant une excellente exécution stratégique et une adaptation réussie aux conditions du marché.</w:t>
      </w:r>
    </w:p>
    <w:p>
      <w:r>
        <w:br w:type="page"/>
      </w:r>
    </w:p>
    <w:p>
      <w:pPr>
        <w:pStyle w:val="Heading1"/>
      </w:pPr>
      <w:r>
        <w:t>3. Objectifs Stratégiques 2025</w:t>
      </w:r>
    </w:p>
    <w:p>
      <w:pPr>
        <w:pStyle w:val="Heading2"/>
      </w:pPr>
      <w:r>
        <w:t>3.1 Vision et Mission</w:t>
      </w:r>
    </w:p>
    <w:p>
      <w:pPr>
        <w:jc w:val="both"/>
      </w:pPr>
      <w:r>
        <w:rPr>
          <w:b/>
        </w:rPr>
        <w:t xml:space="preserve">Vision: </w:t>
      </w:r>
      <w:r>
        <w:t>Devenir le leader mondial dans notre secteur d'ici 2027.</w:t>
      </w:r>
    </w:p>
    <w:p>
      <w:pPr>
        <w:jc w:val="both"/>
      </w:pPr>
      <w:r>
        <w:rPr>
          <w:b/>
        </w:rPr>
        <w:t xml:space="preserve">Mission: </w:t>
      </w:r>
      <w:r>
        <w:t>Fournir des solutions innovantes qui transforment les entreprises et améliorent la vie de millions de personnes.</w:t>
      </w:r>
    </w:p>
    <w:p>
      <w:pPr>
        <w:pStyle w:val="Heading2"/>
      </w:pPr>
      <w:r>
        <w:t>3.2 Objectifs Prioritaires</w:t>
      </w:r>
    </w:p>
    <w:p>
      <w:pPr>
        <w:pStyle w:val="ListNumber"/>
      </w:pPr>
      <w:r>
        <w:rPr>
          <w:b/>
        </w:rPr>
        <w:t xml:space="preserve">Expansion Géographique: </w:t>
      </w:r>
      <w:r>
        <w:t>Pénétrer 10 nouveaux marchés en Asie et Europe de l'Est</w:t>
      </w:r>
    </w:p>
    <w:p>
      <w:pPr>
        <w:pStyle w:val="ListNumber"/>
      </w:pPr>
      <w:r>
        <w:rPr>
          <w:b/>
        </w:rPr>
        <w:t xml:space="preserve">Innovation Produit: </w:t>
      </w:r>
      <w:r>
        <w:t>Lancer 12 nouveaux produits avec IA intégrée</w:t>
      </w:r>
    </w:p>
    <w:p>
      <w:pPr>
        <w:pStyle w:val="ListNumber"/>
      </w:pPr>
      <w:r>
        <w:rPr>
          <w:b/>
        </w:rPr>
        <w:t xml:space="preserve">Excellence Opérationnelle: </w:t>
      </w:r>
      <w:r>
        <w:t>Réduire les coûts de 15% via automatisation</w:t>
      </w:r>
    </w:p>
    <w:p>
      <w:pPr>
        <w:pStyle w:val="ListNumber"/>
      </w:pPr>
      <w:r>
        <w:rPr>
          <w:b/>
        </w:rPr>
        <w:t xml:space="preserve">Satisfaction Client: </w:t>
      </w:r>
      <w:r>
        <w:t>Atteindre un NPS de 75+</w:t>
      </w:r>
    </w:p>
    <w:p>
      <w:pPr>
        <w:pStyle w:val="ListNumber"/>
      </w:pPr>
      <w:r>
        <w:rPr>
          <w:b/>
        </w:rPr>
        <w:t xml:space="preserve">Développement Durable: </w:t>
      </w:r>
      <w:r>
        <w:t>Neutralité carbone d'ici fin 2025</w:t>
      </w:r>
    </w:p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25146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rd_strategy_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514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Heading1"/>
      </w:pPr>
      <w:r>
        <w:t>6. Conclusion</w:t>
      </w:r>
    </w:p>
    <w:p>
      <w:pPr>
        <w:spacing w:lineRule="auto" w:line="360"/>
        <w:jc w:val="both"/>
      </w:pPr>
      <w:r>
        <w:rPr>
          <w:sz w:val="24"/>
        </w:rPr>
        <w:t xml:space="preserve">L'année 2024 a été exceptionnelle </w:t>
      </w:r>
      <w:r>
        <w:rPr>
          <w:b/>
        </w:rPr>
        <w:t xml:space="preserve">pour notre organisation. </w:t>
      </w:r>
      <w:r>
        <w:t xml:space="preserve">Nous avons non seulement atteint nos objectifs ambitieux, mais nous avons également posé les bases solides pour une croissance continue et durable. </w:t>
      </w:r>
      <w:r>
        <w:rPr>
          <w:i/>
        </w:rPr>
        <w:t xml:space="preserve">L'engagement de nos équipes, la confiance de nos clients et l'innovation de nos produits </w:t>
      </w:r>
      <w:r>
        <w:t>sont les piliers de notre succès.</w:t>
      </w:r>
    </w:p>
    <w:sectPr w:rsidR="00FC693F" w:rsidRPr="0006063C" w:rsidSect="00034616">
      <w:footerReference w:type="default" r:id="rId11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i/>
        <w:sz w:val="18"/>
      </w:rPr>
      <w:t xml:space="preserve">Document Confidentiel - TechnoVision International 2024 | 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